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F0F" w:rsidRPr="008F6F0F" w:rsidRDefault="008F6F0F" w:rsidP="008F6F0F">
      <w:pPr>
        <w:widowControl/>
        <w:shd w:val="clear" w:color="auto" w:fill="FFFFFF"/>
        <w:spacing w:line="240" w:lineRule="atLeast"/>
        <w:jc w:val="left"/>
        <w:rPr>
          <w:rFonts w:ascii="Verdana" w:eastAsia="宋体" w:hAnsi="Verdana" w:cs="宋体"/>
          <w:color w:val="000000"/>
          <w:kern w:val="0"/>
          <w:sz w:val="20"/>
          <w:szCs w:val="20"/>
        </w:rPr>
      </w:pPr>
      <w:r w:rsidRPr="008F6F0F">
        <w:rPr>
          <w:rFonts w:ascii="Verdana" w:eastAsia="宋体" w:hAnsi="Verdana" w:cs="宋体"/>
          <w:b/>
          <w:bCs/>
          <w:color w:val="000000"/>
          <w:kern w:val="0"/>
          <w:sz w:val="30"/>
          <w:szCs w:val="30"/>
        </w:rPr>
        <w:br/>
        <w:t>  Biography</w:t>
      </w:r>
    </w:p>
    <w:p w:rsidR="008F6F0F" w:rsidRPr="008F6F0F" w:rsidRDefault="008F6F0F" w:rsidP="008F6F0F">
      <w:pPr>
        <w:widowControl/>
        <w:shd w:val="clear" w:color="auto" w:fill="FFFFFF"/>
        <w:rPr>
          <w:rFonts w:ascii="Times New Roman" w:eastAsia="宋体" w:hAnsi="Times New Roman" w:cs="Times New Roman"/>
          <w:color w:val="000000"/>
          <w:kern w:val="0"/>
          <w:szCs w:val="21"/>
        </w:rPr>
      </w:pPr>
      <w:r>
        <w:rPr>
          <w:rFonts w:ascii="Verdana" w:eastAsia="宋体" w:hAnsi="Verdana" w:cs="宋体"/>
          <w:noProof/>
          <w:color w:val="000000"/>
          <w:kern w:val="0"/>
          <w:sz w:val="20"/>
          <w:szCs w:val="20"/>
        </w:rPr>
        <w:drawing>
          <wp:anchor distT="0" distB="0" distL="114300" distR="114300" simplePos="0" relativeHeight="251658240" behindDoc="0" locked="0" layoutInCell="1" allowOverlap="0">
            <wp:simplePos x="0" y="0"/>
            <wp:positionH relativeFrom="column">
              <wp:align>left</wp:align>
            </wp:positionH>
            <wp:positionV relativeFrom="line">
              <wp:posOffset>0</wp:posOffset>
            </wp:positionV>
            <wp:extent cx="1752600" cy="1809750"/>
            <wp:effectExtent l="0" t="0" r="0" b="0"/>
            <wp:wrapSquare wrapText="bothSides"/>
            <wp:docPr id="1" name="图片 1" descr="IMareels2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reels2009.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52600" cy="1809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F6F0F">
        <w:rPr>
          <w:rFonts w:ascii="Times New Roman" w:eastAsia="宋体" w:hAnsi="Times New Roman" w:cs="Times New Roman"/>
          <w:b/>
          <w:bCs/>
          <w:color w:val="0000FF"/>
          <w:kern w:val="0"/>
          <w:sz w:val="24"/>
          <w:szCs w:val="24"/>
        </w:rPr>
        <w:t>Prof. Iven Mareels</w:t>
      </w:r>
      <w:r w:rsidRPr="008F6F0F">
        <w:rPr>
          <w:rFonts w:ascii="Times New Roman" w:eastAsia="宋体" w:hAnsi="Times New Roman" w:cs="Times New Roman"/>
          <w:b/>
          <w:bCs/>
          <w:color w:val="000000"/>
          <w:kern w:val="0"/>
          <w:sz w:val="24"/>
          <w:szCs w:val="24"/>
        </w:rPr>
        <w:t> is presently Professor at the Department of Electrical and Electronic Engineering, the University of Melbourne, where he holds the Chair of Electrical and Electronic Engineering. He is Fellow of the Academy of Technological Sciences and Engineering, Australia, a Fellow of the Institute of Electrical and Electronics Engineers (USA), a member of the Society for Industrial and Applied Mathematics, a Fellow of the Institute of Engineers Australia, Vice-Chair of the Asian Control Professors Association, Chairman of the Education Committee of the latter, and a member of the Steering Committee for the Asian Control Conference. He is a member of the Flemish Royal Belgian Academy of Sciences and Humanities. He is the Vice-President of the International Federation of Automatic Control (FAC) as Chair of the Technical Board (IFAC), 2008-2014. Professor Mareels is on the Publication Committee for the International Federation of Automatic Control. He is an Associate Editor for Control Engineering Practice. Professor Mareels is a leading contributor to dynamic systems and systems theory. He has made significant contributions to nonlinear systems, in particular, adaptive systems and chaotic systems for control and signal processing. He has published 5 books and has    over 120 refereed journal publications in the leading journals of the field, with an h-index of 31 and g-index of 63. His papers have attracted more than 4800 citations (13 citations per publication on    average, average citations per year is 170). </w:t>
      </w:r>
    </w:p>
    <w:p w:rsidR="0053433C" w:rsidRDefault="008F6F0F">
      <w:bookmarkStart w:id="0" w:name="_GoBack"/>
      <w:bookmarkEnd w:id="0"/>
    </w:p>
    <w:sectPr w:rsidR="0053433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7C65"/>
    <w:rsid w:val="005A7C65"/>
    <w:rsid w:val="007A257A"/>
    <w:rsid w:val="007E0E35"/>
    <w:rsid w:val="008F6F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8F6F0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8F6F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8076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232</Words>
  <Characters>1326</Characters>
  <Application>Microsoft Office Word</Application>
  <DocSecurity>0</DocSecurity>
  <Lines>11</Lines>
  <Paragraphs>3</Paragraphs>
  <ScaleCrop>false</ScaleCrop>
  <Company/>
  <LinksUpToDate>false</LinksUpToDate>
  <CharactersWithSpaces>1555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SEIEE</dc:creator>
  <cp:keywords/>
  <dc:description/>
  <cp:lastModifiedBy>SEIEE</cp:lastModifiedBy>
  <cp:revision>3</cp:revision>
  <dcterms:created xsi:type="dcterms:W3CDTF">2014-12-08T00:32:00Z</dcterms:created>
  <dcterms:modified xsi:type="dcterms:W3CDTF">2014-12-08T00:32:00Z</dcterms:modified>
</cp:coreProperties>
</file>